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bCs/>
        </w:rPr>
      </w:pPr>
      <w:r>
        <w:rPr>
          <w:b/>
          <w:bCs/>
        </w:rPr>
        <w:t>Clay County, Missouri Tax Sale Information</w:t>
      </w:r>
    </w:p>
    <w:p>
      <w:pPr>
        <w:pStyle w:val="Normal"/>
        <w:jc w:val="center"/>
        <w:rPr>
          <w:b/>
          <w:bCs/>
        </w:rPr>
      </w:pPr>
      <w:r>
        <w:rPr>
          <w:b/>
          <w:bCs/>
        </w:rPr>
        <w:t>Held annually, the fourth Monday in August</w:t>
      </w:r>
    </w:p>
    <w:p>
      <w:pPr>
        <w:pStyle w:val="Normal"/>
        <w:jc w:val="center"/>
        <w:rPr/>
      </w:pPr>
      <w:r>
        <w:rPr/>
      </w:r>
    </w:p>
    <w:p>
      <w:pPr>
        <w:pStyle w:val="Default"/>
        <w:rPr>
          <w:i/>
          <w:iCs/>
        </w:rPr>
      </w:pPr>
      <w:r>
        <w:rPr>
          <w:i/>
          <w:iCs/>
        </w:rPr>
        <w:t xml:space="preserve">This document serves as guidelines to the </w:t>
      </w:r>
      <w:r>
        <w:rPr>
          <w:b/>
          <w:bCs/>
          <w:i/>
          <w:iCs/>
        </w:rPr>
        <w:t>2026</w:t>
      </w:r>
      <w:r>
        <w:rPr>
          <w:i/>
          <w:iCs/>
        </w:rPr>
        <w:t xml:space="preserve"> annual Clay County Missouri Tax Sale. Please read this document carefully and electronically sign as an indication that you have read and understand the guidelines of the annual sale.  </w:t>
      </w:r>
      <w:r>
        <w:rPr>
          <w:i/>
          <w:iCs/>
          <w:sz w:val="22"/>
          <w:szCs w:val="22"/>
        </w:rPr>
        <w:t xml:space="preserve">Missouri law under RSMO 140 governs the Missouri tax sale and your rights and responsibilities as a purchaser of property at a tax sale. </w:t>
      </w:r>
    </w:p>
    <w:p>
      <w:pPr>
        <w:pStyle w:val="Normal"/>
        <w:spacing w:before="0" w:after="0"/>
        <w:jc w:val="center"/>
        <w:rPr>
          <w:b/>
          <w:bCs/>
          <w:u w:val="single"/>
        </w:rPr>
      </w:pPr>
      <w:r>
        <w:rPr>
          <w:b/>
          <w:bCs/>
          <w:u w:val="single"/>
        </w:rPr>
        <w:t>BUYER BEWARE</w:t>
      </w:r>
    </w:p>
    <w:p>
      <w:pPr>
        <w:pStyle w:val="Normal"/>
        <w:spacing w:before="0" w:after="0"/>
        <w:jc w:val="center"/>
        <w:rPr>
          <w:b/>
          <w:bCs/>
        </w:rPr>
      </w:pPr>
      <w:r>
        <w:rPr>
          <w:b/>
          <w:bCs/>
        </w:rPr>
        <w:t xml:space="preserve">All sales are final- </w:t>
      </w:r>
      <w:r>
        <w:rPr>
          <w:b/>
          <w:bCs/>
          <w:u w:val="single"/>
        </w:rPr>
        <w:t>THERE ARE NO REFUNDS</w:t>
      </w:r>
    </w:p>
    <w:p>
      <w:pPr>
        <w:pStyle w:val="Normal"/>
        <w:spacing w:before="0" w:after="0"/>
        <w:jc w:val="center"/>
        <w:rPr>
          <w:b/>
          <w:bCs/>
        </w:rPr>
      </w:pPr>
      <w:r>
        <w:rPr>
          <w:b/>
          <w:bCs/>
        </w:rPr>
        <w:t>Potential participants must do their own research-know what you are bidding on</w:t>
      </w:r>
    </w:p>
    <w:p>
      <w:pPr>
        <w:pStyle w:val="Normal"/>
        <w:spacing w:before="0" w:after="0"/>
        <w:jc w:val="center"/>
        <w:rPr>
          <w:b/>
          <w:bCs/>
        </w:rPr>
      </w:pPr>
      <w:r>
        <w:rPr>
          <w:b/>
          <w:bCs/>
        </w:rPr>
        <w:t>Property is offered by legal description, NOT street address</w:t>
      </w:r>
    </w:p>
    <w:p>
      <w:pPr>
        <w:pStyle w:val="Normal"/>
        <w:spacing w:before="0" w:after="0"/>
        <w:jc w:val="center"/>
        <w:rPr>
          <w:b/>
          <w:bCs/>
        </w:rPr>
      </w:pPr>
      <w:r>
        <w:rPr>
          <w:b/>
          <w:bCs/>
        </w:rPr>
        <w:t>Tax sale in accordance with Chapter 140 of the Revised Statutes of Missouri (RSMo)</w:t>
      </w:r>
    </w:p>
    <w:p>
      <w:pPr>
        <w:pStyle w:val="Normal"/>
        <w:spacing w:before="0" w:after="0"/>
        <w:jc w:val="center"/>
        <w:rPr>
          <w:b/>
          <w:bCs/>
        </w:rPr>
      </w:pPr>
      <w:r>
        <w:rPr>
          <w:b/>
          <w:bCs/>
        </w:rPr>
      </w:r>
    </w:p>
    <w:p>
      <w:pPr>
        <w:pStyle w:val="Normal"/>
        <w:spacing w:before="0" w:after="0"/>
        <w:rPr>
          <w:b/>
          <w:bCs/>
          <w:u w:val="single"/>
        </w:rPr>
      </w:pPr>
      <w:r>
        <w:rPr>
          <w:b/>
          <w:bCs/>
          <w:u w:val="single"/>
        </w:rPr>
        <w:t>Property Information</w:t>
      </w:r>
    </w:p>
    <w:p>
      <w:pPr>
        <w:pStyle w:val="ListParagraph"/>
        <w:numPr>
          <w:ilvl w:val="0"/>
          <w:numId w:val="1"/>
        </w:numPr>
        <w:spacing w:before="0" w:after="0"/>
        <w:contextualSpacing/>
        <w:rPr/>
      </w:pPr>
      <w:r>
        <w:rPr/>
        <w:t>All lands and lots on which taxes are delinquent and unpaid are subject to a tax certificate sale at public auction.</w:t>
      </w:r>
    </w:p>
    <w:p>
      <w:pPr>
        <w:pStyle w:val="ListParagraph"/>
        <w:numPr>
          <w:ilvl w:val="0"/>
          <w:numId w:val="1"/>
        </w:numPr>
        <w:spacing w:before="0" w:after="0"/>
        <w:contextualSpacing/>
        <w:rPr/>
      </w:pPr>
      <w:r>
        <w:rPr/>
        <w:t xml:space="preserve">The list of properties subject to sale is published in the Liberty Courier Tribune newspaper, at </w:t>
      </w:r>
      <w:hyperlink r:id="rId2">
        <w:r>
          <w:rPr>
            <w:rStyle w:val="Hyperlink"/>
          </w:rPr>
          <w:t>www.claycountymo.tax/taxsale</w:t>
        </w:r>
      </w:hyperlink>
      <w:r>
        <w:rPr/>
        <w:t xml:space="preserve"> and  </w:t>
      </w:r>
      <w:hyperlink r:id="rId3">
        <w:r>
          <w:rPr>
            <w:rStyle w:val="Hyperlink"/>
          </w:rPr>
          <w:t>www.GovEase.com</w:t>
        </w:r>
      </w:hyperlink>
      <w:r>
        <w:rPr/>
        <w:t>, beginning July 20, 2026 online and July 22, 2026 in the newspaper.</w:t>
      </w:r>
    </w:p>
    <w:p>
      <w:pPr>
        <w:pStyle w:val="ListParagraph"/>
        <w:numPr>
          <w:ilvl w:val="0"/>
          <w:numId w:val="1"/>
        </w:numPr>
        <w:spacing w:before="0" w:after="0"/>
        <w:contextualSpacing/>
        <w:rPr/>
      </w:pPr>
      <w:r>
        <w:rPr/>
        <w:t>Properties are individually identified by sale number, owner of record, parcel number, amount of taxes due, and brief legal description as it appears on the Assessor’s rolls.</w:t>
      </w:r>
    </w:p>
    <w:p>
      <w:pPr>
        <w:pStyle w:val="ListParagraph"/>
        <w:numPr>
          <w:ilvl w:val="0"/>
          <w:numId w:val="1"/>
        </w:numPr>
        <w:spacing w:before="0" w:after="0"/>
        <w:contextualSpacing/>
        <w:rPr/>
      </w:pPr>
      <w:r>
        <w:rPr/>
        <w:t xml:space="preserve">Carefully research the properties before bidding.  There may be some properties with federal or state liens, hazardous conditions, uncertain legal descriptions, or that are considered common areas.  </w:t>
      </w:r>
    </w:p>
    <w:p>
      <w:pPr>
        <w:pStyle w:val="ListParagraph"/>
        <w:numPr>
          <w:ilvl w:val="0"/>
          <w:numId w:val="1"/>
        </w:numPr>
        <w:spacing w:before="0" w:after="0"/>
        <w:contextualSpacing/>
        <w:rPr/>
      </w:pPr>
      <w:r>
        <w:rPr/>
        <w:t>It is the responsibility of the bidder to research the property fully and understand how any conditions may impact your purchase.</w:t>
      </w:r>
    </w:p>
    <w:p>
      <w:pPr>
        <w:pStyle w:val="ListParagraph"/>
        <w:numPr>
          <w:ilvl w:val="0"/>
          <w:numId w:val="1"/>
        </w:numPr>
        <w:spacing w:before="0" w:after="0"/>
        <w:contextualSpacing/>
        <w:rPr/>
      </w:pPr>
      <w:r>
        <w:rPr/>
        <w:t>Non tax sale liens or other obligations may not be extinguished by the issuance of a Collector’s deed.  Consult your attorney about liens and/or deeds of trust, etc.</w:t>
      </w:r>
    </w:p>
    <w:p>
      <w:pPr>
        <w:pStyle w:val="ListParagraph"/>
        <w:numPr>
          <w:ilvl w:val="0"/>
          <w:numId w:val="1"/>
        </w:numPr>
        <w:spacing w:before="0" w:after="0"/>
        <w:contextualSpacing/>
        <w:rPr/>
      </w:pPr>
      <w:r>
        <w:rPr/>
        <w:t>Some parcels may be subject to additional special assessments that are not eligible to be collected through the tax sale. Be advised the taxing entity may choose to maintain its claim. There will be an asterisk placed next to properties that have liens we know about but there may be others that are not known. Lack of an asterisk is not warranty of title.</w:t>
      </w:r>
    </w:p>
    <w:p>
      <w:pPr>
        <w:pStyle w:val="ListParagraph"/>
        <w:numPr>
          <w:ilvl w:val="0"/>
          <w:numId w:val="1"/>
        </w:numPr>
        <w:spacing w:before="0" w:after="0"/>
        <w:contextualSpacing/>
        <w:rPr/>
      </w:pPr>
      <w:r>
        <w:rPr/>
        <w:t>Sale numbers reflect the number of times a property has been offered in previous sales. For example, 1000’s=first offering, 2000’s=second offering etc.</w:t>
      </w:r>
    </w:p>
    <w:p>
      <w:pPr>
        <w:pStyle w:val="ListParagraph"/>
        <w:spacing w:before="0" w:after="0"/>
        <w:contextualSpacing/>
        <w:rPr/>
      </w:pPr>
      <w:r>
        <w:rPr/>
      </w:r>
    </w:p>
    <w:p>
      <w:pPr>
        <w:pStyle w:val="ListParagraph"/>
        <w:numPr>
          <w:ilvl w:val="0"/>
          <w:numId w:val="1"/>
        </w:numPr>
        <w:spacing w:before="0" w:after="0"/>
        <w:contextualSpacing/>
        <w:rPr/>
      </w:pPr>
      <w:r>
        <w:rPr/>
        <w:t>First, Second, and Third Offering</w:t>
      </w:r>
    </w:p>
    <w:p>
      <w:pPr>
        <w:pStyle w:val="ListParagraph"/>
        <w:numPr>
          <w:ilvl w:val="0"/>
          <w:numId w:val="2"/>
        </w:numPr>
        <w:spacing w:before="0" w:after="0"/>
        <w:contextualSpacing/>
        <w:rPr/>
      </w:pPr>
      <w:r>
        <w:rPr/>
        <w:t>Bidding starts at the amount of taxes due plus $440.00 cost of sale including an advance on due diligence and mailing costs.</w:t>
      </w:r>
    </w:p>
    <w:p>
      <w:pPr>
        <w:pStyle w:val="ListParagraph"/>
        <w:numPr>
          <w:ilvl w:val="0"/>
          <w:numId w:val="2"/>
        </w:numPr>
        <w:spacing w:before="0" w:after="0"/>
        <w:contextualSpacing/>
        <w:rPr/>
      </w:pPr>
      <w:r>
        <w:rPr/>
        <w:t>First and Second offerings have a one-year redemption period.</w:t>
      </w:r>
    </w:p>
    <w:p>
      <w:pPr>
        <w:pStyle w:val="ListParagraph"/>
        <w:numPr>
          <w:ilvl w:val="0"/>
          <w:numId w:val="2"/>
        </w:numPr>
        <w:spacing w:before="0" w:after="0"/>
        <w:contextualSpacing/>
        <w:rPr/>
      </w:pPr>
      <w:r>
        <w:rPr/>
        <w:t>Third offering properties are subject to the redemption and notice procedure specified in RSMo 140.405.6. (Approximately 90 days)</w:t>
      </w:r>
    </w:p>
    <w:p>
      <w:pPr>
        <w:pStyle w:val="Normal"/>
        <w:spacing w:before="0" w:after="0"/>
        <w:rPr/>
      </w:pPr>
      <w:r>
        <w:rPr/>
      </w:r>
    </w:p>
    <w:p>
      <w:pPr>
        <w:pStyle w:val="ListParagraph"/>
        <w:numPr>
          <w:ilvl w:val="0"/>
          <w:numId w:val="3"/>
        </w:numPr>
        <w:spacing w:before="0" w:after="0"/>
        <w:contextualSpacing/>
        <w:rPr/>
      </w:pPr>
      <w:r>
        <w:rPr/>
        <w:t>Fourth Offering</w:t>
      </w:r>
    </w:p>
    <w:p>
      <w:pPr>
        <w:pStyle w:val="ListParagraph"/>
        <w:numPr>
          <w:ilvl w:val="3"/>
          <w:numId w:val="4"/>
        </w:numPr>
        <w:spacing w:before="0" w:after="0"/>
        <w:contextualSpacing/>
        <w:rPr/>
      </w:pPr>
      <w:r>
        <w:rPr/>
        <w:t>Bidding starts at the amount of taxes due plus $75.00 cost of sale.</w:t>
      </w:r>
    </w:p>
    <w:p>
      <w:pPr>
        <w:pStyle w:val="ListParagraph"/>
        <w:numPr>
          <w:ilvl w:val="3"/>
          <w:numId w:val="4"/>
        </w:numPr>
        <w:spacing w:before="0" w:after="0"/>
        <w:contextualSpacing/>
        <w:rPr/>
      </w:pPr>
      <w:r>
        <w:rPr/>
        <w:t>Sales subsequent to the third-offering properties generally have no redemption period and may result in immediate issuance of a collector’s deed, unless the purchaser elects to proceed under RSMo 140.250.5 and RSMo 140.405.6.</w:t>
        <w:tab/>
        <w:t xml:space="preserve"> </w:t>
        <w:tab/>
        <w:tab/>
        <w:t xml:space="preserve"> </w:t>
      </w:r>
    </w:p>
    <w:p>
      <w:pPr>
        <w:pStyle w:val="Normal"/>
        <w:spacing w:before="0" w:after="0"/>
        <w:rPr/>
      </w:pPr>
      <w:r>
        <w:rPr/>
      </w:r>
    </w:p>
    <w:p>
      <w:pPr>
        <w:pStyle w:val="Normal"/>
        <w:spacing w:before="0" w:after="0"/>
        <w:rPr>
          <w:b/>
          <w:bCs/>
          <w:u w:val="single"/>
        </w:rPr>
      </w:pPr>
      <w:r>
        <w:rPr>
          <w:b/>
          <w:bCs/>
          <w:u w:val="single"/>
        </w:rPr>
        <w:t>Bidder Information</w:t>
      </w:r>
    </w:p>
    <w:p>
      <w:pPr>
        <w:pStyle w:val="ListParagraph"/>
        <w:numPr>
          <w:ilvl w:val="0"/>
          <w:numId w:val="5"/>
        </w:numPr>
        <w:spacing w:before="0" w:after="0"/>
        <w:contextualSpacing/>
        <w:rPr/>
      </w:pPr>
      <w:r>
        <w:rPr/>
        <w:t>Bidders must be 18 years of age, a resident of the State of Missouri, not delinquent on any tax payments on any property, and present a signed, notarized affidavit to Clay County.</w:t>
      </w:r>
    </w:p>
    <w:p>
      <w:pPr>
        <w:pStyle w:val="ListParagraph"/>
        <w:numPr>
          <w:ilvl w:val="0"/>
          <w:numId w:val="5"/>
        </w:numPr>
        <w:spacing w:before="0" w:after="0"/>
        <w:contextualSpacing/>
        <w:rPr/>
      </w:pPr>
      <w:r>
        <w:rPr/>
        <w:t>Non-residents of Missouri must appoint a resident of Clay County to act as their agent and consent to the jurisdiction of the Circuit Court of Clay County and present an affidavit appointing said agent and the agent must submit an affidavit accepting the appointment.</w:t>
      </w:r>
    </w:p>
    <w:p>
      <w:pPr>
        <w:pStyle w:val="ListParagraph"/>
        <w:numPr>
          <w:ilvl w:val="0"/>
          <w:numId w:val="5"/>
        </w:numPr>
        <w:spacing w:before="0" w:after="0"/>
        <w:contextualSpacing/>
        <w:rPr/>
      </w:pPr>
      <w:r>
        <w:rPr/>
        <w:t xml:space="preserve">This auction will be conducted exclusively online at </w:t>
      </w:r>
      <w:hyperlink r:id="rId4">
        <w:r>
          <w:rPr>
            <w:rStyle w:val="Hyperlink"/>
          </w:rPr>
          <w:t>www.GovEase.com</w:t>
        </w:r>
      </w:hyperlink>
      <w:r>
        <w:rPr/>
        <w:t>.</w:t>
      </w:r>
    </w:p>
    <w:p>
      <w:pPr>
        <w:pStyle w:val="ListParagraph"/>
        <w:numPr>
          <w:ilvl w:val="0"/>
          <w:numId w:val="5"/>
        </w:numPr>
        <w:spacing w:before="0" w:after="0"/>
        <w:contextualSpacing/>
        <w:rPr/>
      </w:pPr>
      <w:r>
        <w:rPr/>
        <w:t xml:space="preserve">Bidders will need to register online and be approved by GovEase </w:t>
      </w:r>
      <w:r>
        <w:rPr>
          <w:b/>
          <w:bCs/>
        </w:rPr>
        <w:t>and</w:t>
      </w:r>
      <w:r>
        <w:rPr/>
        <w:t xml:space="preserve"> Clay County to participate in the auction. Registration must be completed prior to 10:00pm CST August 16, 2026. To register, bidders will go to </w:t>
      </w:r>
      <w:hyperlink r:id="rId5">
        <w:r>
          <w:rPr>
            <w:rStyle w:val="Hyperlink"/>
          </w:rPr>
          <w:t>www.GoveEase.com</w:t>
        </w:r>
      </w:hyperlink>
      <w:r>
        <w:rPr/>
        <w:t xml:space="preserve">  and create/sign in to their profile.  Under </w:t>
      </w:r>
      <w:r>
        <w:rPr>
          <w:b/>
          <w:bCs/>
        </w:rPr>
        <w:t>My Account</w:t>
      </w:r>
      <w:r>
        <w:rPr/>
        <w:t xml:space="preserve"> on the left side of the page, bidders will select </w:t>
      </w:r>
      <w:r>
        <w:rPr>
          <w:b/>
          <w:bCs/>
        </w:rPr>
        <w:t>Register/Add Auctions</w:t>
      </w:r>
      <w:r>
        <w:rPr/>
        <w:t xml:space="preserve">.  </w:t>
      </w:r>
      <w:r>
        <w:rPr>
          <w:b/>
          <w:bCs/>
        </w:rPr>
        <w:t>Bidders will be required to complete ALL registration requirements to be approved to bid in the auction</w:t>
      </w:r>
      <w:r>
        <w:rPr/>
        <w:t xml:space="preserve">. Questions regarding registration should be directed to GovEase customer support at (769)-208-5050 Mon-Fri 8:30am – 5:00pm CST or email  </w:t>
      </w:r>
      <w:hyperlink r:id="rId6">
        <w:r>
          <w:rPr>
            <w:rStyle w:val="Hyperlink"/>
          </w:rPr>
          <w:t>support@govease.com</w:t>
        </w:r>
      </w:hyperlink>
      <w:r>
        <w:rPr/>
        <w:t>.</w:t>
      </w:r>
    </w:p>
    <w:p>
      <w:pPr>
        <w:pStyle w:val="ListParagraph"/>
        <w:numPr>
          <w:ilvl w:val="0"/>
          <w:numId w:val="5"/>
        </w:numPr>
        <w:spacing w:before="0" w:after="0"/>
        <w:contextualSpacing/>
        <w:rPr/>
      </w:pPr>
      <w:r>
        <w:rPr/>
        <w:t xml:space="preserve">All other questions should be directed to the Clay County Collector office at (816)-407-3200 or </w:t>
      </w:r>
      <w:hyperlink r:id="rId7">
        <w:r>
          <w:rPr>
            <w:rStyle w:val="Hyperlink"/>
          </w:rPr>
          <w:t>taxsale@claycountymo.gov</w:t>
        </w:r>
      </w:hyperlink>
      <w:r>
        <w:rPr/>
        <w:t>.</w:t>
        <w:tab/>
        <w:tab/>
        <w:tab/>
      </w:r>
    </w:p>
    <w:p>
      <w:pPr>
        <w:pStyle w:val="ListParagraph"/>
        <w:numPr>
          <w:ilvl w:val="0"/>
          <w:numId w:val="5"/>
        </w:numPr>
        <w:spacing w:before="0" w:after="0"/>
        <w:contextualSpacing/>
        <w:rPr/>
      </w:pPr>
      <w:r>
        <w:rPr/>
        <w:t xml:space="preserve">Registration affidavits required by the county must be </w:t>
      </w:r>
      <w:r>
        <w:rPr>
          <w:b/>
          <w:bCs/>
        </w:rPr>
        <w:t xml:space="preserve">presented in original form in person, </w:t>
      </w:r>
      <w:r>
        <w:rPr>
          <w:b/>
          <w:bCs/>
        </w:rPr>
        <w:t>deposited in the outdoor drop box,</w:t>
      </w:r>
      <w:r>
        <w:rPr>
          <w:b/>
          <w:bCs/>
        </w:rPr>
        <w:t xml:space="preserve"> or by mail to Clay County, LIBERTY LOCATION ONLY</w:t>
      </w:r>
      <w:r>
        <w:rPr/>
        <w:t xml:space="preserve">. No electronic forms or notarization of any kind will be accepted. All forms must be received by Clay County prior to the </w:t>
      </w:r>
      <w:r>
        <w:rPr>
          <w:b/>
          <w:bCs/>
        </w:rPr>
        <w:t>August 16th deadline</w:t>
      </w:r>
      <w:r>
        <w:rPr/>
        <w:t>.</w:t>
      </w:r>
    </w:p>
    <w:p>
      <w:pPr>
        <w:pStyle w:val="ListParagraph"/>
        <w:numPr>
          <w:ilvl w:val="0"/>
          <w:numId w:val="5"/>
        </w:numPr>
        <w:spacing w:before="0" w:after="0"/>
        <w:contextualSpacing/>
        <w:rPr/>
      </w:pPr>
      <w:r>
        <w:rPr/>
        <w:t>This auction requires you to request and be approved for the spending limit you will be given for this auction. A 25% deposit of the approved spending limit is required by all bidders to complete registration for this sale.  Deposit payments are due by 10:00pm CST August 16, 2026, to GovEase by wire or ACH at the bidder’s expense. Unused funds will be refunded by GovEase-allow 7-10 business days.</w:t>
      </w:r>
    </w:p>
    <w:p>
      <w:pPr>
        <w:pStyle w:val="ListParagraph"/>
        <w:numPr>
          <w:ilvl w:val="0"/>
          <w:numId w:val="5"/>
        </w:numPr>
        <w:spacing w:before="0" w:after="0"/>
        <w:contextualSpacing/>
        <w:rPr/>
      </w:pPr>
      <w:r>
        <w:rPr/>
        <w:t>Pre-bidding will open to bidders once they are registered and approved to bid.</w:t>
      </w:r>
    </w:p>
    <w:p>
      <w:pPr>
        <w:pStyle w:val="ListParagraph"/>
        <w:numPr>
          <w:ilvl w:val="0"/>
          <w:numId w:val="5"/>
        </w:numPr>
        <w:spacing w:before="0" w:after="0"/>
        <w:contextualSpacing/>
        <w:rPr/>
      </w:pPr>
      <w:r>
        <w:rPr/>
        <w:t xml:space="preserve">Properties will be offered one at a time in the order they were published and will be live for </w:t>
      </w:r>
      <w:r>
        <w:rPr>
          <w:b/>
          <w:bCs/>
        </w:rPr>
        <w:t>ONE MINUTE</w:t>
      </w:r>
      <w:r>
        <w:rPr/>
        <w:t xml:space="preserve"> each.  After the lapse of the initial one-minute bidding period, an additional </w:t>
      </w:r>
      <w:r>
        <w:rPr>
          <w:b/>
          <w:bCs/>
        </w:rPr>
        <w:t>15 SECONDS</w:t>
      </w:r>
      <w:r>
        <w:rPr/>
        <w:t xml:space="preserve"> will be reset to the clock </w:t>
      </w:r>
      <w:r>
        <w:rPr>
          <w:b/>
          <w:bCs/>
        </w:rPr>
        <w:t xml:space="preserve">ONLY IF </w:t>
      </w:r>
      <w:r>
        <w:rPr/>
        <w:t>competing bids are still submitted at the close of one minute. An additional 15seconds will continue to be reset until all bids cease. Once bidding ceases and times has expired, the auction will close for that parcel and be sold to the bidder with the highest bid.</w:t>
      </w:r>
    </w:p>
    <w:p>
      <w:pPr>
        <w:pStyle w:val="ListParagraph"/>
        <w:numPr>
          <w:ilvl w:val="0"/>
          <w:numId w:val="5"/>
        </w:numPr>
        <w:spacing w:before="0" w:after="0"/>
        <w:contextualSpacing/>
        <w:rPr/>
      </w:pPr>
      <w:r>
        <w:rPr/>
        <w:t xml:space="preserve">Properties will be first offered for taxes, interest, special assessments, and charges due at that time of sale.  Additional bids will be in $100 bidding increments for all parcels. </w:t>
      </w:r>
    </w:p>
    <w:p>
      <w:pPr>
        <w:pStyle w:val="ListParagraph"/>
        <w:numPr>
          <w:ilvl w:val="0"/>
          <w:numId w:val="5"/>
        </w:numPr>
        <w:spacing w:before="0" w:after="0"/>
        <w:contextualSpacing/>
        <w:rPr/>
      </w:pPr>
      <w:r>
        <w:rPr/>
        <w:t xml:space="preserve">If you are a winning bidder, payment of the total bid is due immediately at the completion of the tax sale.  Wire transfer is available through GovEase.  Wire transfer fees are at the buyers’ expense and are not reimbursable by the county.  </w:t>
      </w:r>
      <w:r>
        <w:rPr>
          <w:b/>
          <w:bCs/>
        </w:rPr>
        <w:t>ACH transfer of funds to GovEase is NOT available for final tax sale payment</w:t>
      </w:r>
      <w:r>
        <w:rPr/>
        <w:t xml:space="preserve">. Clay county will accept in person payment by Cashier’s check, money order, or cash at the Clay County Collector office, </w:t>
      </w:r>
      <w:r>
        <w:rPr>
          <w:b/>
          <w:bCs/>
        </w:rPr>
        <w:t>Liberty location only</w:t>
      </w:r>
      <w:r>
        <w:rPr/>
        <w:t>.</w:t>
      </w:r>
    </w:p>
    <w:p>
      <w:pPr>
        <w:pStyle w:val="ListParagraph"/>
        <w:numPr>
          <w:ilvl w:val="0"/>
          <w:numId w:val="5"/>
        </w:numPr>
        <w:spacing w:before="0" w:after="0"/>
        <w:contextualSpacing/>
        <w:rPr/>
      </w:pPr>
      <w:r>
        <w:rPr>
          <w:b/>
          <w:bCs/>
          <w:sz w:val="28"/>
          <w:szCs w:val="28"/>
        </w:rPr>
        <w:t>ALL PAYMENTS MUST BE RECEIVED BEFORE 5:00PM CST TUESDAY AUGUST 25, 2026</w:t>
      </w:r>
      <w:r>
        <w:rPr/>
        <w:t>. We will not accept any payments deposited in drop boxes at either location. No payments are allowed by mail (USPS, FEDEX, UPS etc)</w:t>
      </w:r>
    </w:p>
    <w:p>
      <w:pPr>
        <w:pStyle w:val="ListParagraph"/>
        <w:numPr>
          <w:ilvl w:val="0"/>
          <w:numId w:val="5"/>
        </w:numPr>
        <w:spacing w:before="0" w:after="0"/>
        <w:contextualSpacing/>
        <w:rPr>
          <w:sz w:val="28"/>
          <w:szCs w:val="28"/>
        </w:rPr>
      </w:pPr>
      <w:r>
        <w:rPr>
          <w:b/>
          <w:bCs/>
          <w:sz w:val="28"/>
          <w:szCs w:val="28"/>
        </w:rPr>
        <w:t xml:space="preserve">Failure to pay the total bid amount on or before 5:00pm CST, August 25, 2026, will result in forfeiture of the statutory 25% penalty.  Any deposit may be applied to the amounts owed. </w:t>
      </w:r>
    </w:p>
    <w:p>
      <w:pPr>
        <w:pStyle w:val="ListParagraph"/>
        <w:numPr>
          <w:ilvl w:val="0"/>
          <w:numId w:val="5"/>
        </w:numPr>
        <w:spacing w:before="0" w:after="0"/>
        <w:contextualSpacing/>
        <w:rPr/>
      </w:pPr>
      <w:r>
        <w:rPr/>
        <w:t>If the winning bidder fails to pay, the parcel will be offered to the second-place bidder. If there were no other bids, the unpaid parcel will be reoffered for sale as if no sale had been made, and the defaulting bidder will be subject to the statutory penalty.</w:t>
      </w:r>
    </w:p>
    <w:p>
      <w:pPr>
        <w:pStyle w:val="ListParagraph"/>
        <w:numPr>
          <w:ilvl w:val="0"/>
          <w:numId w:val="5"/>
        </w:numPr>
        <w:spacing w:before="0" w:after="0"/>
        <w:contextualSpacing/>
        <w:rPr/>
      </w:pPr>
      <w:r>
        <w:rPr/>
        <w:t xml:space="preserve">The Office of the Collector issues, records, and mails a copy of the Certificate of Purchase to the purchaser.  Interest on tax certificates is paid at 10% annually on the amount of delinquent taxes only, not on any overbid.  Subsequent taxes paid earn 8% annually.  Interest rates are calculated daily and stop accruing the day we receive sufficient funds for redemption. </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8"/>
    <w:family w:val="roman"/>
    <w:pitch w:val="variable"/>
  </w:font>
  <w:font w:name="Aptos">
    <w:charset w:val="88"/>
    <w:family w:val="roman"/>
    <w:pitch w:val="variable"/>
  </w:font>
  <w:font w:name="Aptos Display">
    <w:charset w:val="88"/>
    <w:family w:val="roman"/>
    <w:pitch w:val="variable"/>
  </w:font>
  <w:font w:name="Liberation Sans">
    <w:altName w:val="Arial"/>
    <w:charset w:val="88"/>
    <w:family w:val="swiss"/>
    <w:pitch w:val="variable"/>
  </w:font>
  <w:font w:name="Calibri">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2160" w:hanging="360"/>
      </w:pPr>
      <w:rPr>
        <w:rFonts w:ascii="Wingdings" w:hAnsi="Wingdings" w:cs="Wingdings" w:hint="default"/>
      </w:rPr>
    </w:lvl>
    <w:lvl w:ilvl="1">
      <w:start w:val="1"/>
      <w:numFmt w:val="bullet"/>
      <w:lvlText w:val="o"/>
      <w:lvlJc w:val="start"/>
      <w:pPr>
        <w:tabs>
          <w:tab w:val="num" w:pos="0"/>
        </w:tabs>
        <w:ind w:start="2880" w:hanging="360"/>
      </w:pPr>
      <w:rPr>
        <w:rFonts w:ascii="Courier New" w:hAnsi="Courier New" w:cs="Courier New" w:hint="default"/>
      </w:rPr>
    </w:lvl>
    <w:lvl w:ilvl="2">
      <w:start w:val="1"/>
      <w:numFmt w:val="bullet"/>
      <w:lvlText w:val=""/>
      <w:lvlJc w:val="start"/>
      <w:pPr>
        <w:tabs>
          <w:tab w:val="num" w:pos="0"/>
        </w:tabs>
        <w:ind w:start="3600" w:hanging="360"/>
      </w:pPr>
      <w:rPr>
        <w:rFonts w:ascii="Wingdings" w:hAnsi="Wingdings" w:cs="Wingdings" w:hint="default"/>
      </w:rPr>
    </w:lvl>
    <w:lvl w:ilvl="3">
      <w:start w:val="1"/>
      <w:numFmt w:val="bullet"/>
      <w:lvlText w:val=""/>
      <w:lvlJc w:val="start"/>
      <w:pPr>
        <w:tabs>
          <w:tab w:val="num" w:pos="0"/>
        </w:tabs>
        <w:ind w:start="4320" w:hanging="360"/>
      </w:pPr>
      <w:rPr>
        <w:rFonts w:ascii="Symbol" w:hAnsi="Symbol" w:cs="Symbol" w:hint="default"/>
      </w:rPr>
    </w:lvl>
    <w:lvl w:ilvl="4">
      <w:start w:val="1"/>
      <w:numFmt w:val="bullet"/>
      <w:lvlText w:val="o"/>
      <w:lvlJc w:val="start"/>
      <w:pPr>
        <w:tabs>
          <w:tab w:val="num" w:pos="0"/>
        </w:tabs>
        <w:ind w:start="5040" w:hanging="360"/>
      </w:pPr>
      <w:rPr>
        <w:rFonts w:ascii="Courier New" w:hAnsi="Courier New" w:cs="Courier New" w:hint="default"/>
      </w:rPr>
    </w:lvl>
    <w:lvl w:ilvl="5">
      <w:start w:val="1"/>
      <w:numFmt w:val="bullet"/>
      <w:lvlText w:val=""/>
      <w:lvlJc w:val="start"/>
      <w:pPr>
        <w:tabs>
          <w:tab w:val="num" w:pos="0"/>
        </w:tabs>
        <w:ind w:start="5760" w:hanging="360"/>
      </w:pPr>
      <w:rPr>
        <w:rFonts w:ascii="Wingdings" w:hAnsi="Wingdings" w:cs="Wingdings" w:hint="default"/>
      </w:rPr>
    </w:lvl>
    <w:lvl w:ilvl="6">
      <w:start w:val="1"/>
      <w:numFmt w:val="bullet"/>
      <w:lvlText w:val=""/>
      <w:lvlJc w:val="start"/>
      <w:pPr>
        <w:tabs>
          <w:tab w:val="num" w:pos="0"/>
        </w:tabs>
        <w:ind w:start="6480" w:hanging="360"/>
      </w:pPr>
      <w:rPr>
        <w:rFonts w:ascii="Symbol" w:hAnsi="Symbol" w:cs="Symbol" w:hint="default"/>
      </w:rPr>
    </w:lvl>
    <w:lvl w:ilvl="7">
      <w:start w:val="1"/>
      <w:numFmt w:val="bullet"/>
      <w:lvlText w:val="o"/>
      <w:lvlJc w:val="start"/>
      <w:pPr>
        <w:tabs>
          <w:tab w:val="num" w:pos="0"/>
        </w:tabs>
        <w:ind w:start="7200" w:hanging="360"/>
      </w:pPr>
      <w:rPr>
        <w:rFonts w:ascii="Courier New" w:hAnsi="Courier New" w:cs="Courier New" w:hint="default"/>
      </w:rPr>
    </w:lvl>
    <w:lvl w:ilvl="8">
      <w:start w:val="1"/>
      <w:numFmt w:val="bullet"/>
      <w:lvlText w:val=""/>
      <w:lvlJc w:val="start"/>
      <w:pPr>
        <w:tabs>
          <w:tab w:val="num" w:pos="0"/>
        </w:tabs>
        <w:ind w:start="792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160" w:hanging="360"/>
      </w:pPr>
      <w:rPr>
        <w:rFonts w:ascii="Wingdings" w:hAnsi="Wingdings" w:cs="Wingdings"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de57a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de57a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de57a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de57a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de57a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de57a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de57a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de57a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de57a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de57ad"/>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de57ad"/>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de57ad"/>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de57ad"/>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de57ad"/>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de57ad"/>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de57ad"/>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de57ad"/>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de57ad"/>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de57ad"/>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de57ad"/>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de57ad"/>
    <w:rPr>
      <w:i/>
      <w:iCs/>
      <w:color w:themeColor="text1" w:themeTint="bf" w:val="404040"/>
    </w:rPr>
  </w:style>
  <w:style w:type="character" w:styleId="IntenseEmphasis">
    <w:name w:val="Intense Emphasis"/>
    <w:basedOn w:val="DefaultParagraphFont"/>
    <w:uiPriority w:val="21"/>
    <w:qFormat/>
    <w:rsid w:val="00de57ad"/>
    <w:rPr>
      <w:i/>
      <w:iCs/>
      <w:color w:themeColor="accent1" w:themeShade="bf" w:val="0F4761"/>
    </w:rPr>
  </w:style>
  <w:style w:type="character" w:styleId="IntenseQuoteChar" w:customStyle="1">
    <w:name w:val="Intense Quote Char"/>
    <w:basedOn w:val="DefaultParagraphFont"/>
    <w:link w:val="IntenseQuote"/>
    <w:uiPriority w:val="30"/>
    <w:qFormat/>
    <w:rsid w:val="00de57ad"/>
    <w:rPr>
      <w:i/>
      <w:iCs/>
      <w:color w:themeColor="accent1" w:themeShade="bf" w:val="0F4761"/>
    </w:rPr>
  </w:style>
  <w:style w:type="character" w:styleId="IntenseReference">
    <w:name w:val="Intense Reference"/>
    <w:basedOn w:val="DefaultParagraphFont"/>
    <w:uiPriority w:val="32"/>
    <w:qFormat/>
    <w:rsid w:val="00de57ad"/>
    <w:rPr>
      <w:b/>
      <w:bCs/>
      <w:smallCaps/>
      <w:color w:themeColor="accent1" w:themeShade="bf" w:val="0F4761"/>
      <w:spacing w:val="5"/>
    </w:rPr>
  </w:style>
  <w:style w:type="character" w:styleId="Hyperlink">
    <w:name w:val="Hyperlink"/>
    <w:basedOn w:val="DefaultParagraphFont"/>
    <w:uiPriority w:val="99"/>
    <w:unhideWhenUsed/>
    <w:rsid w:val="00df19d9"/>
    <w:rPr>
      <w:color w:themeColor="hyperlink" w:val="467886"/>
      <w:u w:val="single"/>
    </w:rPr>
  </w:style>
  <w:style w:type="character" w:styleId="UnresolvedMention">
    <w:name w:val="Unresolved Mention"/>
    <w:basedOn w:val="DefaultParagraphFont"/>
    <w:uiPriority w:val="99"/>
    <w:semiHidden/>
    <w:unhideWhenUsed/>
    <w:qFormat/>
    <w:rsid w:val="00df19d9"/>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微軟正黑體"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de57a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de57ad"/>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de57ad"/>
    <w:pPr>
      <w:spacing w:before="160" w:after="160"/>
      <w:jc w:val="center"/>
    </w:pPr>
    <w:rPr>
      <w:i/>
      <w:iCs/>
      <w:color w:themeColor="text1" w:themeTint="bf" w:val="404040"/>
    </w:rPr>
  </w:style>
  <w:style w:type="paragraph" w:styleId="ListParagraph">
    <w:name w:val="List Paragraph"/>
    <w:basedOn w:val="Normal"/>
    <w:uiPriority w:val="34"/>
    <w:qFormat/>
    <w:rsid w:val="00de57ad"/>
    <w:pPr>
      <w:spacing w:before="0" w:after="160"/>
      <w:ind w:start="720"/>
      <w:contextualSpacing/>
    </w:pPr>
    <w:rPr/>
  </w:style>
  <w:style w:type="paragraph" w:styleId="IntenseQuote">
    <w:name w:val="Intense Quote"/>
    <w:basedOn w:val="Normal"/>
    <w:next w:val="Normal"/>
    <w:link w:val="IntenseQuoteChar"/>
    <w:uiPriority w:val="30"/>
    <w:qFormat/>
    <w:rsid w:val="00de57ad"/>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Default" w:customStyle="1">
    <w:name w:val="Default"/>
    <w:qFormat/>
    <w:rsid w:val="00f35958"/>
    <w:pPr>
      <w:widowControl/>
      <w:bidi w:val="0"/>
      <w:spacing w:lineRule="auto" w:line="240" w:before="0" w:after="0"/>
      <w:jc w:val="start"/>
    </w:pPr>
    <w:rPr>
      <w:rFonts w:ascii="Calibri" w:hAnsi="Calibri" w:cs="Calibri" w:eastAsia="Aptos"/>
      <w:color w:val="000000"/>
      <w:kern w:val="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laycountymo.tax/taxsale" TargetMode="External"/><Relationship Id="rId3" Type="http://schemas.openxmlformats.org/officeDocument/2006/relationships/hyperlink" Target="http://www.GovEase.com/" TargetMode="External"/><Relationship Id="rId4" Type="http://schemas.openxmlformats.org/officeDocument/2006/relationships/hyperlink" Target="http://www.GovEase.com/" TargetMode="External"/><Relationship Id="rId5" Type="http://schemas.openxmlformats.org/officeDocument/2006/relationships/hyperlink" Target="http://www.GoveEase.com/" TargetMode="External"/><Relationship Id="rId6" Type="http://schemas.openxmlformats.org/officeDocument/2006/relationships/hyperlink" Target="mailto:support@govease.com" TargetMode="External"/><Relationship Id="rId7" Type="http://schemas.openxmlformats.org/officeDocument/2006/relationships/hyperlink" Target="mailto:taxsale@claycountymo.gov"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410</TotalTime>
  <Application>LibreOffice/26.2.4.2$Windows_X86_64 LibreOffice_project/0229ac93fcf0d7cbc6376066c6f35021cef002dc</Application>
  <AppVersion>15.0000</AppVersion>
  <Pages>4</Pages>
  <Words>1202</Words>
  <Characters>6006</Characters>
  <CharactersWithSpaces>7171</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2026-06-26T14:46:00Z</dcterms:created>
  <dc:creator>Peck, Barbara</dc:creator>
  <dc:description/>
  <dc:language>en-US</dc:language>
  <cp:lastModifiedBy/>
  <cp:lastPrinted>2026-06-26T19:56:00Z</cp:lastPrinted>
  <dcterms:modified xsi:type="dcterms:W3CDTF">2026-07-20T09:33:15Z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